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6589A54D"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3618D9">
        <w:rPr>
          <w:noProof/>
          <w:color w:val="111111"/>
          <w:sz w:val="16"/>
          <w:lang w:val="de-DE"/>
        </w:rPr>
        <w:t>o</w:t>
      </w:r>
      <w:r w:rsidR="00B47E23">
        <w:rPr>
          <w:noProof/>
          <w:color w:val="111111"/>
          <w:sz w:val="16"/>
          <w:lang w:val="de-DE"/>
        </w:rPr>
        <w:t>ckergelb</w:t>
      </w:r>
      <w:r w:rsidR="00F71BB8" w:rsidRPr="00F71BB8">
        <w:rPr>
          <w:noProof/>
          <w:color w:val="111111"/>
          <w:sz w:val="16"/>
          <w:lang w:val="de-DE"/>
        </w:rPr>
        <w:t xml:space="preserve"> nuanciert bis in die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2DF94DBE" w:rsidR="002F02AD" w:rsidRPr="000A32C1" w:rsidRDefault="002F02AD" w:rsidP="002F02AD">
            <w:pPr>
              <w:rPr>
                <w:lang w:val="de-DE"/>
              </w:rPr>
            </w:pPr>
            <w:r w:rsidRPr="000A32C1">
              <w:rPr>
                <w:sz w:val="14"/>
                <w:lang w:val="de-DE"/>
              </w:rPr>
              <w:t>2</w:t>
            </w:r>
            <w:r w:rsidR="002209E1">
              <w:rPr>
                <w:sz w:val="14"/>
                <w:lang w:val="de-DE"/>
              </w:rPr>
              <w:t>22</w:t>
            </w:r>
            <w:r w:rsidRPr="000A32C1">
              <w:rPr>
                <w:sz w:val="14"/>
                <w:lang w:val="de-DE"/>
              </w:rPr>
              <w:t>x</w:t>
            </w:r>
            <w:r w:rsidR="002209E1">
              <w:rPr>
                <w:sz w:val="14"/>
                <w:lang w:val="de-DE"/>
              </w:rPr>
              <w:t>53</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4175D6CE" w:rsidR="002F02AD" w:rsidRPr="000A32C1" w:rsidRDefault="002209E1" w:rsidP="002F02AD">
            <w:pPr>
              <w:rPr>
                <w:sz w:val="14"/>
                <w:lang w:val="de-DE"/>
              </w:rPr>
            </w:pPr>
            <w:r>
              <w:rPr>
                <w:sz w:val="14"/>
                <w:lang w:val="de-DE"/>
              </w:rPr>
              <w:t>66</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75B4949C" w:rsidR="00A4376D" w:rsidRDefault="002209E1" w:rsidP="002F02AD">
            <w:pPr>
              <w:rPr>
                <w:sz w:val="14"/>
                <w:lang w:val="de-DE"/>
              </w:rPr>
            </w:pPr>
            <w:r>
              <w:rPr>
                <w:sz w:val="14"/>
                <w:lang w:val="de-DE"/>
              </w:rPr>
              <w:t>75</w:t>
            </w:r>
          </w:p>
          <w:p w14:paraId="4D6BCA4D" w14:textId="4783167F" w:rsidR="0037256F" w:rsidRPr="000A32C1" w:rsidRDefault="002209E1" w:rsidP="002F02AD">
            <w:pPr>
              <w:rPr>
                <w:sz w:val="14"/>
                <w:lang w:val="de-DE"/>
              </w:rPr>
            </w:pPr>
            <w:r>
              <w:rPr>
                <w:sz w:val="14"/>
                <w:lang w:val="de-DE"/>
              </w:rPr>
              <w:t>77</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26F2A843" w:rsidR="00F13FFC" w:rsidRPr="000A32C1" w:rsidRDefault="00360973" w:rsidP="00CE2140">
            <w:pPr>
              <w:rPr>
                <w:lang w:val="de-DE"/>
              </w:rPr>
            </w:pPr>
            <w:r w:rsidRPr="000A32C1">
              <w:rPr>
                <w:sz w:val="14"/>
                <w:lang w:val="de-DE"/>
              </w:rPr>
              <w:t>0,</w:t>
            </w:r>
            <w:r w:rsidR="00F71BB8">
              <w:rPr>
                <w:sz w:val="14"/>
                <w:lang w:val="de-DE"/>
              </w:rPr>
              <w:t>54</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58C199A6" w:rsidR="00891D28" w:rsidRDefault="002209E1" w:rsidP="00CE2140">
            <w:pPr>
              <w:spacing w:line="360" w:lineRule="auto"/>
              <w:rPr>
                <w:sz w:val="14"/>
                <w:lang w:val="de-DE"/>
              </w:rPr>
            </w:pPr>
            <w:r>
              <w:rPr>
                <w:sz w:val="14"/>
              </w:rPr>
              <w:t xml:space="preserve">10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45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3BAB">
      <w:pPr>
        <w:ind w:left="72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2AE4CD43" w:rsidR="002209E1" w:rsidRDefault="002209E1" w:rsidP="002209E1">
            <w:pPr>
              <w:spacing w:line="360" w:lineRule="auto"/>
              <w:rPr>
                <w:sz w:val="14"/>
                <w:szCs w:val="14"/>
              </w:rPr>
            </w:pPr>
            <w:r>
              <w:rPr>
                <w:sz w:val="14"/>
                <w:szCs w:val="14"/>
              </w:rPr>
              <w:t>Ca. 222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26A34CFF" w:rsidR="002209E1" w:rsidRDefault="002209E1" w:rsidP="002209E1">
            <w:pPr>
              <w:spacing w:line="360" w:lineRule="auto"/>
              <w:rPr>
                <w:sz w:val="14"/>
                <w:szCs w:val="14"/>
              </w:rPr>
            </w:pPr>
            <w:r>
              <w:rPr>
                <w:sz w:val="14"/>
                <w:szCs w:val="14"/>
              </w:rPr>
              <w:t>Ca. 72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61CD9B51" w:rsidR="002209E1" w:rsidRDefault="002209E1" w:rsidP="002209E1">
            <w:pPr>
              <w:spacing w:line="360" w:lineRule="auto"/>
              <w:rPr>
                <w:sz w:val="14"/>
              </w:rPr>
            </w:pPr>
            <w:r>
              <w:rPr>
                <w:sz w:val="14"/>
              </w:rPr>
              <w:t>Ca. 53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3618D9">
      <w:headerReference w:type="default" r:id="rId9"/>
      <w:footerReference w:type="default" r:id="rId10"/>
      <w:type w:val="continuous"/>
      <w:pgSz w:w="11900" w:h="16840"/>
      <w:pgMar w:top="1560" w:right="1127"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15" name="Afbeelding 1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B1D53F5"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Nature7 Brick M</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5B1D53F5"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Nature7 Brick M</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209E1"/>
    <w:rsid w:val="00237A28"/>
    <w:rsid w:val="002421F5"/>
    <w:rsid w:val="002470F6"/>
    <w:rsid w:val="002831E1"/>
    <w:rsid w:val="002944E0"/>
    <w:rsid w:val="002953CC"/>
    <w:rsid w:val="002F02AD"/>
    <w:rsid w:val="00313819"/>
    <w:rsid w:val="00317270"/>
    <w:rsid w:val="00320776"/>
    <w:rsid w:val="00332944"/>
    <w:rsid w:val="00360973"/>
    <w:rsid w:val="003618D9"/>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518</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96</cp:revision>
  <cp:lastPrinted>2022-09-05T14:52:00Z</cp:lastPrinted>
  <dcterms:created xsi:type="dcterms:W3CDTF">2022-04-04T13:30:00Z</dcterms:created>
  <dcterms:modified xsi:type="dcterms:W3CDTF">2022-10-14T08:51:00Z</dcterms:modified>
</cp:coreProperties>
</file>